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shd w:val="clear" w:fill="FFFFFF"/>
        <w:spacing w:before="0" w:beforeAutospacing="1" w:after="0" w:afterAutospacing="1" w:line="288" w:lineRule="atLeast"/>
        <w:ind w:left="0" w:right="0" w:firstLine="0"/>
        <w:jc w:val="center"/>
        <w:rPr>
          <w:rFonts w:hint="eastAsia" w:ascii="宋体" w:hAnsi="宋体" w:eastAsia="宋体" w:cs="宋体"/>
          <w:i w:val="0"/>
          <w:iCs w:val="0"/>
          <w:caps w:val="0"/>
          <w:color w:val="002F5E"/>
          <w:spacing w:val="0"/>
          <w:sz w:val="14"/>
          <w:szCs w:val="14"/>
        </w:rPr>
      </w:pPr>
      <w:r>
        <w:rPr>
          <w:rFonts w:hint="eastAsia" w:ascii="黑体" w:hAnsi="宋体" w:eastAsia="黑体" w:cs="黑体"/>
          <w:i w:val="0"/>
          <w:iCs w:val="0"/>
          <w:caps w:val="0"/>
          <w:color w:val="002F5E"/>
          <w:spacing w:val="0"/>
          <w:kern w:val="0"/>
          <w:sz w:val="28"/>
          <w:szCs w:val="28"/>
          <w:shd w:val="clear" w:fill="FFFFFF"/>
          <w:lang w:val="en-US" w:eastAsia="zh-CN" w:bidi="ar"/>
        </w:rPr>
        <w:t>全美国际</w:t>
      </w:r>
      <w:r>
        <w:rPr>
          <w:rFonts w:ascii="黑体" w:hAnsi="宋体" w:eastAsia="黑体" w:cs="黑体"/>
          <w:i w:val="0"/>
          <w:iCs w:val="0"/>
          <w:caps w:val="0"/>
          <w:color w:val="002F5E"/>
          <w:spacing w:val="0"/>
          <w:kern w:val="0"/>
          <w:sz w:val="28"/>
          <w:szCs w:val="28"/>
          <w:shd w:val="clear" w:fill="FFFFFF"/>
          <w:lang w:val="en-US" w:eastAsia="zh-CN" w:bidi="ar"/>
        </w:rPr>
        <w:t>20</w:t>
      </w:r>
      <w:r>
        <w:rPr>
          <w:rFonts w:hint="eastAsia" w:ascii="黑体" w:hAnsi="宋体" w:eastAsia="黑体" w:cs="黑体"/>
          <w:i w:val="0"/>
          <w:iCs w:val="0"/>
          <w:caps w:val="0"/>
          <w:color w:val="002F5E"/>
          <w:spacing w:val="0"/>
          <w:kern w:val="0"/>
          <w:sz w:val="28"/>
          <w:szCs w:val="28"/>
          <w:shd w:val="clear" w:fill="FFFFFF"/>
          <w:lang w:val="en-US" w:eastAsia="zh-CN" w:bidi="ar"/>
        </w:rPr>
        <w:t>24年寒假和春季学期世界名校访学项目</w:t>
      </w:r>
      <w:bookmarkStart w:id="0" w:name="_GoBack"/>
      <w:bookmarkEnd w:id="0"/>
    </w:p>
    <w:tbl>
      <w:tblPr>
        <w:tblStyle w:val="3"/>
        <w:tblpPr w:leftFromText="180" w:rightFromText="180" w:vertAnchor="text" w:horzAnchor="page" w:tblpX="533" w:tblpY="382"/>
        <w:tblOverlap w:val="never"/>
        <w:tblW w:w="1099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518"/>
        <w:gridCol w:w="1175"/>
        <w:gridCol w:w="2736"/>
        <w:gridCol w:w="1016"/>
        <w:gridCol w:w="1844"/>
        <w:gridCol w:w="1372"/>
        <w:gridCol w:w="133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16" w:hRule="atLeast"/>
        </w:trPr>
        <w:tc>
          <w:tcPr>
            <w:tcW w:w="1518" w:type="dxa"/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81" w:lineRule="atLeast"/>
              <w:ind w:left="0" w:right="0"/>
              <w:jc w:val="center"/>
              <w:textAlignment w:val="center"/>
              <w:rPr>
                <w:rFonts w:hint="eastAsia" w:ascii="黑体" w:hAnsi="黑体" w:eastAsia="黑体" w:cs="黑体"/>
                <w:sz w:val="18"/>
                <w:szCs w:val="18"/>
              </w:rPr>
            </w:pPr>
            <w:r>
              <w:rPr>
                <w:rStyle w:val="5"/>
                <w:rFonts w:hint="eastAsia" w:ascii="黑体" w:hAnsi="黑体" w:eastAsia="黑体" w:cs="黑体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院校</w:t>
            </w:r>
          </w:p>
        </w:tc>
        <w:tc>
          <w:tcPr>
            <w:tcW w:w="1175" w:type="dxa"/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81" w:lineRule="atLeast"/>
              <w:ind w:left="0" w:right="0"/>
              <w:jc w:val="center"/>
              <w:textAlignment w:val="center"/>
              <w:rPr>
                <w:rFonts w:hint="eastAsia" w:ascii="黑体" w:hAnsi="黑体" w:eastAsia="黑体" w:cs="黑体"/>
                <w:sz w:val="18"/>
                <w:szCs w:val="18"/>
              </w:rPr>
            </w:pPr>
            <w:r>
              <w:rPr>
                <w:rStyle w:val="5"/>
                <w:rFonts w:hint="eastAsia" w:ascii="黑体" w:hAnsi="黑体" w:eastAsia="黑体" w:cs="黑体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项目日期</w:t>
            </w:r>
          </w:p>
        </w:tc>
        <w:tc>
          <w:tcPr>
            <w:tcW w:w="2736" w:type="dxa"/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81" w:lineRule="atLeast"/>
              <w:ind w:left="0" w:right="0" w:firstLine="241"/>
              <w:jc w:val="center"/>
              <w:textAlignment w:val="center"/>
              <w:rPr>
                <w:rFonts w:hint="eastAsia" w:ascii="黑体" w:hAnsi="黑体" w:eastAsia="黑体" w:cs="黑体"/>
                <w:sz w:val="18"/>
                <w:szCs w:val="18"/>
              </w:rPr>
            </w:pPr>
            <w:r>
              <w:rPr>
                <w:rStyle w:val="5"/>
                <w:rFonts w:hint="eastAsia" w:ascii="黑体" w:hAnsi="黑体" w:eastAsia="黑体" w:cs="黑体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课程主题</w:t>
            </w:r>
          </w:p>
        </w:tc>
        <w:tc>
          <w:tcPr>
            <w:tcW w:w="1016" w:type="dxa"/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81" w:lineRule="atLeast"/>
              <w:ind w:left="0" w:right="0"/>
              <w:jc w:val="center"/>
              <w:textAlignment w:val="center"/>
              <w:rPr>
                <w:rFonts w:hint="eastAsia" w:ascii="黑体" w:hAnsi="黑体" w:eastAsia="黑体" w:cs="黑体"/>
                <w:sz w:val="18"/>
                <w:szCs w:val="18"/>
              </w:rPr>
            </w:pPr>
            <w:r>
              <w:rPr>
                <w:rStyle w:val="5"/>
                <w:rFonts w:hint="eastAsia" w:ascii="黑体" w:hAnsi="黑体" w:eastAsia="黑体" w:cs="黑体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学生收获</w:t>
            </w:r>
          </w:p>
        </w:tc>
        <w:tc>
          <w:tcPr>
            <w:tcW w:w="1844" w:type="dxa"/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81" w:lineRule="atLeast"/>
              <w:ind w:left="0" w:right="0"/>
              <w:jc w:val="center"/>
              <w:textAlignment w:val="center"/>
              <w:rPr>
                <w:rFonts w:hint="eastAsia" w:ascii="黑体" w:hAnsi="黑体" w:eastAsia="黑体" w:cs="黑体"/>
                <w:sz w:val="18"/>
                <w:szCs w:val="18"/>
              </w:rPr>
            </w:pPr>
            <w:r>
              <w:rPr>
                <w:rStyle w:val="5"/>
                <w:rFonts w:hint="eastAsia" w:ascii="黑体" w:hAnsi="黑体" w:eastAsia="黑体" w:cs="黑体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申请要求</w:t>
            </w:r>
          </w:p>
        </w:tc>
        <w:tc>
          <w:tcPr>
            <w:tcW w:w="1372" w:type="dxa"/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81" w:lineRule="atLeast"/>
              <w:ind w:left="0" w:right="0"/>
              <w:jc w:val="center"/>
              <w:textAlignment w:val="center"/>
              <w:rPr>
                <w:rFonts w:hint="eastAsia" w:ascii="黑体" w:hAnsi="黑体" w:eastAsia="黑体" w:cs="黑体"/>
                <w:sz w:val="18"/>
                <w:szCs w:val="18"/>
              </w:rPr>
            </w:pPr>
            <w:r>
              <w:rPr>
                <w:rStyle w:val="5"/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项目费用</w:t>
            </w:r>
          </w:p>
        </w:tc>
        <w:tc>
          <w:tcPr>
            <w:tcW w:w="1335" w:type="dxa"/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81" w:lineRule="atLeast"/>
              <w:ind w:left="0" w:right="0"/>
              <w:jc w:val="center"/>
              <w:textAlignment w:val="center"/>
              <w:rPr>
                <w:rFonts w:hint="eastAsia" w:ascii="黑体" w:hAnsi="黑体" w:eastAsia="黑体" w:cs="黑体"/>
                <w:sz w:val="18"/>
                <w:szCs w:val="18"/>
              </w:rPr>
            </w:pPr>
            <w:r>
              <w:rPr>
                <w:rStyle w:val="5"/>
                <w:rFonts w:hint="eastAsia" w:ascii="黑体" w:hAnsi="黑体" w:eastAsia="黑体" w:cs="黑体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预录取截止日期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16" w:hRule="atLeast"/>
        </w:trPr>
        <w:tc>
          <w:tcPr>
            <w:tcW w:w="10996" w:type="dxa"/>
            <w:gridSpan w:val="7"/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81" w:lineRule="atLeast"/>
              <w:ind w:left="0" w:right="0"/>
              <w:jc w:val="center"/>
              <w:textAlignment w:val="center"/>
              <w:rPr>
                <w:rStyle w:val="5"/>
                <w:rFonts w:hint="default" w:ascii="黑体" w:hAnsi="黑体" w:eastAsia="黑体" w:cs="黑体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Style w:val="5"/>
                <w:rFonts w:hint="eastAsia" w:ascii="黑体" w:hAnsi="黑体" w:eastAsia="黑体" w:cs="黑体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寒假专业项目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99" w:hRule="atLeast"/>
        </w:trPr>
        <w:tc>
          <w:tcPr>
            <w:tcW w:w="1518" w:type="dxa"/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81" w:lineRule="atLeast"/>
              <w:ind w:left="0" w:right="0"/>
              <w:jc w:val="center"/>
              <w:textAlignment w:val="center"/>
              <w:rPr>
                <w:rFonts w:hint="eastAsia" w:ascii="黑体" w:hAnsi="黑体" w:eastAsia="黑体" w:cs="黑体"/>
              </w:rPr>
            </w:pPr>
            <w:r>
              <w:rPr>
                <w:rStyle w:val="5"/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加拿大</w:t>
            </w:r>
            <w:r>
              <w:rPr>
                <w:rStyle w:val="5"/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Style w:val="5"/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麦吉尔大学</w:t>
            </w:r>
          </w:p>
        </w:tc>
        <w:tc>
          <w:tcPr>
            <w:tcW w:w="1175" w:type="dxa"/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81" w:lineRule="atLeast"/>
              <w:ind w:left="0" w:right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 1.22-2.16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81" w:lineRule="atLeast"/>
              <w:ind w:left="0" w:right="0"/>
              <w:jc w:val="center"/>
              <w:textAlignment w:val="center"/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（4周）</w:t>
            </w:r>
          </w:p>
        </w:tc>
        <w:tc>
          <w:tcPr>
            <w:tcW w:w="2736" w:type="dxa"/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81" w:lineRule="atLeast"/>
              <w:ind w:left="0" w:right="0"/>
              <w:jc w:val="center"/>
              <w:textAlignment w:val="center"/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 </w:t>
            </w: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机器学习/商业数据分析</w:t>
            </w:r>
          </w:p>
        </w:tc>
        <w:tc>
          <w:tcPr>
            <w:tcW w:w="1016" w:type="dxa"/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81" w:lineRule="atLeast"/>
              <w:ind w:left="0" w:right="0"/>
              <w:jc w:val="center"/>
              <w:textAlignment w:val="center"/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成绩单+证书</w:t>
            </w:r>
          </w:p>
        </w:tc>
        <w:tc>
          <w:tcPr>
            <w:tcW w:w="1844" w:type="dxa"/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81" w:lineRule="atLeast"/>
              <w:ind w:left="0" w:right="0"/>
              <w:jc w:val="center"/>
              <w:textAlignment w:val="center"/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 托福79，或雅思6.0，或四级500分，或六级470分，或Duolingo105</w:t>
            </w:r>
          </w:p>
        </w:tc>
        <w:tc>
          <w:tcPr>
            <w:tcW w:w="1372" w:type="dxa"/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81" w:lineRule="atLeast"/>
              <w:ind w:left="0" w:right="0"/>
              <w:jc w:val="center"/>
              <w:textAlignment w:val="center"/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2.66万</w:t>
            </w:r>
          </w:p>
        </w:tc>
        <w:tc>
          <w:tcPr>
            <w:tcW w:w="1335" w:type="dxa"/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81" w:lineRule="atLeast"/>
              <w:ind w:left="0" w:right="0"/>
              <w:jc w:val="center"/>
              <w:textAlignment w:val="center"/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10月23日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40" w:hRule="atLeast"/>
        </w:trPr>
        <w:tc>
          <w:tcPr>
            <w:tcW w:w="1518" w:type="dxa"/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81" w:lineRule="atLeast"/>
              <w:ind w:left="0" w:right="0"/>
              <w:jc w:val="center"/>
              <w:textAlignment w:val="center"/>
              <w:rPr>
                <w:rFonts w:hint="eastAsia" w:ascii="黑体" w:hAnsi="黑体" w:eastAsia="黑体" w:cs="黑体"/>
              </w:rPr>
            </w:pPr>
            <w:r>
              <w:rPr>
                <w:rStyle w:val="5"/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美国</w:t>
            </w:r>
            <w:r>
              <w:rPr>
                <w:rStyle w:val="5"/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Style w:val="5"/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宾夕法尼亚大学</w:t>
            </w:r>
          </w:p>
        </w:tc>
        <w:tc>
          <w:tcPr>
            <w:tcW w:w="1175" w:type="dxa"/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81" w:lineRule="atLeast"/>
              <w:ind w:left="0" w:right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 1.22-2.16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81" w:lineRule="atLeast"/>
              <w:ind w:left="0" w:right="0"/>
              <w:jc w:val="center"/>
              <w:textAlignment w:val="center"/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（4周）</w:t>
            </w:r>
          </w:p>
        </w:tc>
        <w:tc>
          <w:tcPr>
            <w:tcW w:w="2736" w:type="dxa"/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81" w:lineRule="atLeast"/>
              <w:ind w:left="0" w:right="0"/>
              <w:jc w:val="center"/>
              <w:textAlignment w:val="center"/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 拔尖创新人才“五大胜任力”培养项目</w:t>
            </w:r>
          </w:p>
        </w:tc>
        <w:tc>
          <w:tcPr>
            <w:tcW w:w="1016" w:type="dxa"/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81" w:lineRule="atLeast"/>
              <w:ind w:left="0" w:right="0"/>
              <w:jc w:val="center"/>
              <w:textAlignment w:val="center"/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成绩单+证书</w:t>
            </w:r>
          </w:p>
        </w:tc>
        <w:tc>
          <w:tcPr>
            <w:tcW w:w="1844" w:type="dxa"/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81" w:lineRule="atLeast"/>
              <w:ind w:left="0" w:right="0"/>
              <w:jc w:val="center"/>
              <w:textAlignment w:val="center"/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雅思5.5，四级480，六级450</w:t>
            </w: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Duolingo 100</w:t>
            </w:r>
          </w:p>
        </w:tc>
        <w:tc>
          <w:tcPr>
            <w:tcW w:w="1372" w:type="dxa"/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81" w:lineRule="atLeast"/>
              <w:ind w:left="0" w:right="0"/>
              <w:jc w:val="center"/>
              <w:textAlignment w:val="center"/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4.21万</w:t>
            </w:r>
          </w:p>
        </w:tc>
        <w:tc>
          <w:tcPr>
            <w:tcW w:w="1335" w:type="dxa"/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81" w:lineRule="atLeast"/>
              <w:ind w:left="0" w:right="0"/>
              <w:jc w:val="center"/>
              <w:textAlignment w:val="center"/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11月10日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40" w:hRule="atLeast"/>
        </w:trPr>
        <w:tc>
          <w:tcPr>
            <w:tcW w:w="1518" w:type="dxa"/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81" w:lineRule="atLeast"/>
              <w:ind w:left="0" w:right="0"/>
              <w:jc w:val="center"/>
              <w:textAlignment w:val="center"/>
              <w:rPr>
                <w:rFonts w:hint="eastAsia" w:ascii="黑体" w:hAnsi="黑体" w:eastAsia="黑体" w:cs="黑体"/>
              </w:rPr>
            </w:pPr>
            <w:r>
              <w:rPr>
                <w:rStyle w:val="5"/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新加坡</w:t>
            </w:r>
            <w:r>
              <w:rPr>
                <w:rStyle w:val="5"/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Style w:val="5"/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南洋理工大学</w:t>
            </w:r>
          </w:p>
        </w:tc>
        <w:tc>
          <w:tcPr>
            <w:tcW w:w="1175" w:type="dxa"/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81" w:lineRule="atLeast"/>
              <w:ind w:left="0" w:right="0"/>
              <w:jc w:val="center"/>
              <w:textAlignment w:val="center"/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1.22-1.30</w:t>
            </w:r>
          </w:p>
        </w:tc>
        <w:tc>
          <w:tcPr>
            <w:tcW w:w="2736" w:type="dxa"/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81" w:lineRule="atLeast"/>
              <w:ind w:left="0" w:right="0"/>
              <w:jc w:val="center"/>
              <w:textAlignment w:val="center"/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人工智能机器人与3D打印项目</w:t>
            </w:r>
          </w:p>
        </w:tc>
        <w:tc>
          <w:tcPr>
            <w:tcW w:w="1016" w:type="dxa"/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81" w:lineRule="atLeast"/>
              <w:ind w:left="0" w:right="0"/>
              <w:jc w:val="center"/>
              <w:textAlignment w:val="center"/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邀请函+证书</w:t>
            </w:r>
          </w:p>
        </w:tc>
        <w:tc>
          <w:tcPr>
            <w:tcW w:w="1844" w:type="dxa"/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81" w:lineRule="atLeast"/>
              <w:ind w:left="0" w:right="0"/>
              <w:jc w:val="center"/>
              <w:textAlignment w:val="center"/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无需托福雅思成绩，四级470/六级450/Duolingo 90/高考110</w:t>
            </w:r>
          </w:p>
        </w:tc>
        <w:tc>
          <w:tcPr>
            <w:tcW w:w="1372" w:type="dxa"/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81" w:lineRule="atLeast"/>
              <w:ind w:left="0" w:right="0"/>
              <w:jc w:val="center"/>
              <w:textAlignment w:val="center"/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1.98万（含食宿）</w:t>
            </w:r>
          </w:p>
        </w:tc>
        <w:tc>
          <w:tcPr>
            <w:tcW w:w="1335" w:type="dxa"/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81" w:lineRule="atLeast"/>
              <w:ind w:left="0" w:right="0"/>
              <w:jc w:val="center"/>
              <w:textAlignment w:val="center"/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10月27日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40" w:hRule="atLeast"/>
        </w:trPr>
        <w:tc>
          <w:tcPr>
            <w:tcW w:w="1518" w:type="dxa"/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1" w:after="0" w:afterAutospacing="1" w:line="281" w:lineRule="atLeast"/>
              <w:ind w:left="0" w:right="0"/>
              <w:jc w:val="center"/>
              <w:textAlignment w:val="center"/>
              <w:rPr>
                <w:rFonts w:hint="eastAsia" w:ascii="黑体" w:hAnsi="黑体" w:eastAsia="黑体" w:cs="黑体"/>
                <w:color w:val="auto"/>
              </w:rPr>
            </w:pPr>
            <w:r>
              <w:rPr>
                <w:rStyle w:val="5"/>
                <w:rFonts w:hint="eastAsia" w:ascii="黑体" w:hAnsi="黑体" w:eastAsia="黑体" w:cs="黑体"/>
                <w:b/>
                <w:bCs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新加坡</w:t>
            </w:r>
            <w:r>
              <w:rPr>
                <w:rStyle w:val="5"/>
                <w:rFonts w:hint="eastAsia" w:ascii="黑体" w:hAnsi="黑体" w:eastAsia="黑体" w:cs="黑体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Style w:val="5"/>
                <w:rFonts w:hint="eastAsia" w:ascii="黑体" w:hAnsi="黑体" w:eastAsia="黑体" w:cs="黑体"/>
                <w:b/>
                <w:bCs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国立大学</w:t>
            </w:r>
          </w:p>
        </w:tc>
        <w:tc>
          <w:tcPr>
            <w:tcW w:w="1175" w:type="dxa"/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81" w:lineRule="atLeast"/>
              <w:ind w:left="0" w:right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 2月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81" w:lineRule="atLeast"/>
              <w:ind w:left="0" w:right="0"/>
              <w:jc w:val="center"/>
              <w:textAlignment w:val="center"/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（日期待定）</w:t>
            </w:r>
          </w:p>
        </w:tc>
        <w:tc>
          <w:tcPr>
            <w:tcW w:w="2736" w:type="dxa"/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81" w:lineRule="atLeast"/>
              <w:ind w:left="0" w:right="0"/>
              <w:jc w:val="center"/>
              <w:textAlignment w:val="center"/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 基于管理经济学下的经济发展政策与公共管理</w:t>
            </w:r>
          </w:p>
        </w:tc>
        <w:tc>
          <w:tcPr>
            <w:tcW w:w="1016" w:type="dxa"/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81" w:lineRule="atLeast"/>
              <w:ind w:left="0" w:right="0"/>
              <w:jc w:val="center"/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待定</w:t>
            </w:r>
          </w:p>
        </w:tc>
        <w:tc>
          <w:tcPr>
            <w:tcW w:w="1844" w:type="dxa"/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81" w:lineRule="atLeast"/>
              <w:ind w:left="0" w:right="0"/>
              <w:jc w:val="center"/>
              <w:textAlignment w:val="center"/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待定</w:t>
            </w:r>
          </w:p>
        </w:tc>
        <w:tc>
          <w:tcPr>
            <w:tcW w:w="1372" w:type="dxa"/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81" w:lineRule="atLeast"/>
              <w:ind w:left="0" w:right="0"/>
              <w:jc w:val="center"/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 </w:t>
            </w:r>
          </w:p>
        </w:tc>
        <w:tc>
          <w:tcPr>
            <w:tcW w:w="1335" w:type="dxa"/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81" w:lineRule="atLeast"/>
              <w:ind w:left="0" w:right="0"/>
              <w:jc w:val="center"/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待定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40" w:hRule="atLeast"/>
        </w:trPr>
        <w:tc>
          <w:tcPr>
            <w:tcW w:w="1518" w:type="dxa"/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81" w:lineRule="atLeast"/>
              <w:ind w:left="0" w:right="0"/>
              <w:jc w:val="center"/>
              <w:textAlignment w:val="center"/>
              <w:rPr>
                <w:rFonts w:hint="eastAsia" w:ascii="黑体" w:hAnsi="黑体" w:eastAsia="黑体" w:cs="黑体"/>
                <w:color w:val="auto"/>
              </w:rPr>
            </w:pPr>
            <w:r>
              <w:rPr>
                <w:rStyle w:val="5"/>
                <w:rFonts w:hint="eastAsia" w:ascii="黑体" w:hAnsi="黑体" w:eastAsia="黑体" w:cs="黑体"/>
                <w:b/>
                <w:bCs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英国</w:t>
            </w:r>
            <w:r>
              <w:rPr>
                <w:rStyle w:val="5"/>
                <w:rFonts w:hint="eastAsia" w:ascii="黑体" w:hAnsi="黑体" w:eastAsia="黑体" w:cs="黑体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Style w:val="5"/>
                <w:rFonts w:hint="eastAsia" w:ascii="黑体" w:hAnsi="黑体" w:eastAsia="黑体" w:cs="黑体"/>
                <w:b/>
                <w:bCs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剑桥大学</w:t>
            </w:r>
          </w:p>
        </w:tc>
        <w:tc>
          <w:tcPr>
            <w:tcW w:w="1175" w:type="dxa"/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81" w:lineRule="atLeast"/>
              <w:ind w:left="0" w:right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1-2月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81" w:lineRule="atLeast"/>
              <w:ind w:left="0" w:right="0"/>
              <w:jc w:val="center"/>
              <w:textAlignment w:val="center"/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（日期待定）</w:t>
            </w:r>
          </w:p>
        </w:tc>
        <w:tc>
          <w:tcPr>
            <w:tcW w:w="2736" w:type="dxa"/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81" w:lineRule="atLeast"/>
              <w:ind w:left="0" w:right="0"/>
              <w:jc w:val="center"/>
              <w:textAlignment w:val="center"/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 人工智能下的机器人与实验室自动化</w:t>
            </w:r>
          </w:p>
        </w:tc>
        <w:tc>
          <w:tcPr>
            <w:tcW w:w="1016" w:type="dxa"/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81" w:lineRule="atLeast"/>
              <w:ind w:left="0" w:right="0"/>
              <w:jc w:val="center"/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待定</w:t>
            </w:r>
          </w:p>
        </w:tc>
        <w:tc>
          <w:tcPr>
            <w:tcW w:w="1844" w:type="dxa"/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81" w:lineRule="atLeast"/>
              <w:ind w:left="0" w:right="0"/>
              <w:jc w:val="center"/>
              <w:textAlignment w:val="center"/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待定</w:t>
            </w:r>
          </w:p>
        </w:tc>
        <w:tc>
          <w:tcPr>
            <w:tcW w:w="1372" w:type="dxa"/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81" w:lineRule="atLeast"/>
              <w:ind w:left="0" w:right="0"/>
              <w:jc w:val="center"/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 </w:t>
            </w:r>
          </w:p>
        </w:tc>
        <w:tc>
          <w:tcPr>
            <w:tcW w:w="1335" w:type="dxa"/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81" w:lineRule="atLeast"/>
              <w:ind w:left="0" w:right="0"/>
              <w:jc w:val="center"/>
              <w:textAlignment w:val="center"/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待定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40" w:hRule="atLeast"/>
        </w:trPr>
        <w:tc>
          <w:tcPr>
            <w:tcW w:w="1518" w:type="dxa"/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81" w:lineRule="atLeast"/>
              <w:ind w:left="0" w:right="0"/>
              <w:jc w:val="center"/>
              <w:textAlignment w:val="center"/>
              <w:rPr>
                <w:rFonts w:hint="eastAsia" w:ascii="黑体" w:hAnsi="黑体" w:eastAsia="黑体" w:cs="黑体"/>
              </w:rPr>
            </w:pPr>
            <w:r>
              <w:rPr>
                <w:rStyle w:val="5"/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澳大利亚</w:t>
            </w:r>
            <w:r>
              <w:rPr>
                <w:rStyle w:val="5"/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Style w:val="5"/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阿德莱德大学</w:t>
            </w:r>
          </w:p>
        </w:tc>
        <w:tc>
          <w:tcPr>
            <w:tcW w:w="1175" w:type="dxa"/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81" w:lineRule="atLeast"/>
              <w:ind w:left="0" w:right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 1.22-2.9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81" w:lineRule="atLeast"/>
              <w:ind w:left="0" w:right="0"/>
              <w:jc w:val="center"/>
              <w:textAlignment w:val="center"/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（3周）</w:t>
            </w:r>
          </w:p>
        </w:tc>
        <w:tc>
          <w:tcPr>
            <w:tcW w:w="2736" w:type="dxa"/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81" w:lineRule="atLeast"/>
              <w:ind w:left="0" w:right="0"/>
              <w:jc w:val="center"/>
              <w:textAlignment w:val="center"/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 化学工程与沟通技能</w:t>
            </w:r>
          </w:p>
        </w:tc>
        <w:tc>
          <w:tcPr>
            <w:tcW w:w="1016" w:type="dxa"/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81" w:lineRule="atLeast"/>
              <w:ind w:left="0" w:right="0"/>
              <w:jc w:val="center"/>
              <w:textAlignment w:val="center"/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成绩单+证书</w:t>
            </w:r>
          </w:p>
        </w:tc>
        <w:tc>
          <w:tcPr>
            <w:tcW w:w="1844" w:type="dxa"/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81" w:lineRule="atLeast"/>
              <w:ind w:left="0" w:right="0"/>
              <w:jc w:val="center"/>
              <w:textAlignment w:val="center"/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四级450，六级430</w:t>
            </w: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化工、材料相关专业</w:t>
            </w:r>
          </w:p>
        </w:tc>
        <w:tc>
          <w:tcPr>
            <w:tcW w:w="1372" w:type="dxa"/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81" w:lineRule="atLeast"/>
              <w:ind w:left="0" w:right="0"/>
              <w:jc w:val="center"/>
              <w:textAlignment w:val="center"/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3.38万（含食宿）</w:t>
            </w:r>
          </w:p>
        </w:tc>
        <w:tc>
          <w:tcPr>
            <w:tcW w:w="1335" w:type="dxa"/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81" w:lineRule="atLeast"/>
              <w:ind w:left="0" w:right="0"/>
              <w:jc w:val="center"/>
              <w:textAlignment w:val="center"/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10月15日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53" w:hRule="atLeast"/>
        </w:trPr>
        <w:tc>
          <w:tcPr>
            <w:tcW w:w="1518" w:type="dxa"/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1" w:after="0" w:afterAutospacing="1" w:line="281" w:lineRule="atLeast"/>
              <w:ind w:left="0" w:right="0"/>
              <w:jc w:val="center"/>
              <w:textAlignment w:val="center"/>
              <w:rPr>
                <w:rFonts w:hint="eastAsia" w:ascii="黑体" w:hAnsi="黑体" w:eastAsia="黑体" w:cs="黑体"/>
                <w:sz w:val="16"/>
                <w:szCs w:val="16"/>
              </w:rPr>
            </w:pPr>
            <w:r>
              <w:rPr>
                <w:rStyle w:val="5"/>
                <w:rFonts w:hint="eastAsia" w:ascii="黑体" w:hAnsi="黑体" w:eastAsia="黑体" w:cs="黑体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院校</w:t>
            </w:r>
          </w:p>
        </w:tc>
        <w:tc>
          <w:tcPr>
            <w:tcW w:w="1175" w:type="dxa"/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81" w:lineRule="atLeast"/>
              <w:ind w:left="0" w:right="0"/>
              <w:jc w:val="center"/>
              <w:textAlignment w:val="center"/>
              <w:rPr>
                <w:rFonts w:hint="eastAsia" w:ascii="黑体" w:hAnsi="黑体" w:eastAsia="黑体" w:cs="黑体"/>
                <w:sz w:val="16"/>
                <w:szCs w:val="16"/>
              </w:rPr>
            </w:pPr>
            <w:r>
              <w:rPr>
                <w:rStyle w:val="5"/>
                <w:rFonts w:hint="eastAsia" w:ascii="黑体" w:hAnsi="黑体" w:eastAsia="黑体" w:cs="黑体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项目日期</w:t>
            </w:r>
          </w:p>
        </w:tc>
        <w:tc>
          <w:tcPr>
            <w:tcW w:w="2736" w:type="dxa"/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81" w:lineRule="atLeast"/>
              <w:ind w:left="0" w:right="0" w:firstLine="241"/>
              <w:jc w:val="center"/>
              <w:textAlignment w:val="center"/>
              <w:rPr>
                <w:rFonts w:hint="eastAsia" w:ascii="黑体" w:hAnsi="黑体" w:eastAsia="黑体" w:cs="黑体"/>
                <w:sz w:val="16"/>
                <w:szCs w:val="16"/>
              </w:rPr>
            </w:pPr>
            <w:r>
              <w:rPr>
                <w:rStyle w:val="5"/>
                <w:rFonts w:hint="eastAsia" w:ascii="黑体" w:hAnsi="黑体" w:eastAsia="黑体" w:cs="黑体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课程主题</w:t>
            </w:r>
          </w:p>
        </w:tc>
        <w:tc>
          <w:tcPr>
            <w:tcW w:w="1016" w:type="dxa"/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81" w:lineRule="atLeast"/>
              <w:ind w:left="0" w:right="0"/>
              <w:jc w:val="center"/>
              <w:textAlignment w:val="center"/>
              <w:rPr>
                <w:rFonts w:hint="eastAsia" w:ascii="黑体" w:hAnsi="黑体" w:eastAsia="黑体" w:cs="黑体"/>
                <w:sz w:val="16"/>
                <w:szCs w:val="16"/>
              </w:rPr>
            </w:pPr>
            <w:r>
              <w:rPr>
                <w:rStyle w:val="5"/>
                <w:rFonts w:hint="eastAsia" w:ascii="黑体" w:hAnsi="黑体" w:eastAsia="黑体" w:cs="黑体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学生收获</w:t>
            </w:r>
          </w:p>
        </w:tc>
        <w:tc>
          <w:tcPr>
            <w:tcW w:w="1844" w:type="dxa"/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81" w:lineRule="atLeast"/>
              <w:ind w:left="0" w:right="0"/>
              <w:jc w:val="center"/>
              <w:textAlignment w:val="center"/>
              <w:rPr>
                <w:rFonts w:hint="eastAsia" w:ascii="黑体" w:hAnsi="黑体" w:eastAsia="黑体" w:cs="黑体"/>
                <w:sz w:val="16"/>
                <w:szCs w:val="16"/>
              </w:rPr>
            </w:pPr>
            <w:r>
              <w:rPr>
                <w:rStyle w:val="5"/>
                <w:rFonts w:hint="eastAsia" w:ascii="黑体" w:hAnsi="黑体" w:eastAsia="黑体" w:cs="黑体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申请要求</w:t>
            </w:r>
          </w:p>
        </w:tc>
        <w:tc>
          <w:tcPr>
            <w:tcW w:w="1372" w:type="dxa"/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81" w:lineRule="atLeast"/>
              <w:ind w:left="0" w:right="0"/>
              <w:jc w:val="center"/>
              <w:textAlignment w:val="center"/>
              <w:rPr>
                <w:rStyle w:val="5"/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Style w:val="5"/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预估项目费用</w:t>
            </w:r>
          </w:p>
        </w:tc>
        <w:tc>
          <w:tcPr>
            <w:tcW w:w="1335" w:type="dxa"/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81" w:lineRule="atLeast"/>
              <w:ind w:left="0" w:right="0"/>
              <w:jc w:val="center"/>
              <w:textAlignment w:val="center"/>
              <w:rPr>
                <w:rFonts w:hint="eastAsia" w:ascii="黑体" w:hAnsi="黑体" w:eastAsia="黑体" w:cs="黑体"/>
                <w:sz w:val="16"/>
                <w:szCs w:val="16"/>
              </w:rPr>
            </w:pPr>
            <w:r>
              <w:rPr>
                <w:rStyle w:val="5"/>
                <w:rFonts w:hint="eastAsia" w:ascii="黑体" w:hAnsi="黑体" w:eastAsia="黑体" w:cs="黑体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预录取截止日期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53" w:hRule="atLeast"/>
        </w:trPr>
        <w:tc>
          <w:tcPr>
            <w:tcW w:w="10996" w:type="dxa"/>
            <w:gridSpan w:val="7"/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81" w:lineRule="atLeast"/>
              <w:ind w:left="0" w:right="0"/>
              <w:jc w:val="center"/>
              <w:textAlignment w:val="center"/>
              <w:rPr>
                <w:rStyle w:val="5"/>
                <w:rFonts w:hint="eastAsia" w:ascii="黑体" w:hAnsi="黑体" w:eastAsia="黑体" w:cs="黑体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Style w:val="5"/>
                <w:rFonts w:hint="eastAsia" w:ascii="黑体" w:hAnsi="黑体" w:eastAsia="黑体" w:cs="黑体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寒假语言项目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16" w:hRule="atLeast"/>
        </w:trPr>
        <w:tc>
          <w:tcPr>
            <w:tcW w:w="1518" w:type="dxa"/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1" w:after="0" w:afterAutospacing="1" w:line="281" w:lineRule="atLeast"/>
              <w:ind w:left="0" w:right="0"/>
              <w:jc w:val="center"/>
              <w:textAlignment w:val="center"/>
              <w:rPr>
                <w:rFonts w:hint="eastAsia" w:ascii="黑体" w:hAnsi="黑体" w:eastAsia="黑体" w:cs="黑体"/>
              </w:rPr>
            </w:pPr>
            <w:r>
              <w:rPr>
                <w:rStyle w:val="5"/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澳大利亚</w:t>
            </w:r>
            <w:r>
              <w:rPr>
                <w:rStyle w:val="5"/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Style w:val="5"/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悉尼大学</w:t>
            </w:r>
          </w:p>
        </w:tc>
        <w:tc>
          <w:tcPr>
            <w:tcW w:w="1175" w:type="dxa"/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81" w:lineRule="atLeast"/>
              <w:ind w:left="0" w:right="0"/>
              <w:jc w:val="center"/>
              <w:textAlignment w:val="center"/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 1.22-2.9（3周）</w:t>
            </w: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 2.12-2.23（2周）</w:t>
            </w:r>
          </w:p>
        </w:tc>
        <w:tc>
          <w:tcPr>
            <w:tcW w:w="2736" w:type="dxa"/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81" w:lineRule="atLeast"/>
              <w:ind w:left="0" w:right="0"/>
              <w:jc w:val="center"/>
              <w:textAlignment w:val="center"/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 商务沟通与领导力（订制）</w:t>
            </w:r>
          </w:p>
        </w:tc>
        <w:tc>
          <w:tcPr>
            <w:tcW w:w="1016" w:type="dxa"/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81" w:lineRule="atLeast"/>
              <w:ind w:left="0" w:right="0"/>
              <w:jc w:val="center"/>
              <w:textAlignment w:val="center"/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成绩单+证书</w:t>
            </w:r>
          </w:p>
        </w:tc>
        <w:tc>
          <w:tcPr>
            <w:tcW w:w="1844" w:type="dxa"/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81" w:lineRule="atLeast"/>
              <w:ind w:left="0" w:right="0"/>
              <w:jc w:val="center"/>
              <w:textAlignment w:val="center"/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四级通过</w:t>
            </w:r>
          </w:p>
        </w:tc>
        <w:tc>
          <w:tcPr>
            <w:tcW w:w="1372" w:type="dxa"/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81" w:lineRule="atLeast"/>
              <w:ind w:left="0" w:right="0"/>
              <w:jc w:val="center"/>
              <w:textAlignment w:val="center"/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3周：2.35万</w:t>
            </w: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2周：2.05万</w:t>
            </w:r>
          </w:p>
        </w:tc>
        <w:tc>
          <w:tcPr>
            <w:tcW w:w="1335" w:type="dxa"/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81" w:lineRule="atLeast"/>
              <w:ind w:left="0" w:right="0"/>
              <w:jc w:val="center"/>
              <w:textAlignment w:val="center"/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1月：10月25日</w:t>
            </w: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2月：11月24日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42" w:hRule="atLeast"/>
        </w:trPr>
        <w:tc>
          <w:tcPr>
            <w:tcW w:w="1518" w:type="dxa"/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81" w:lineRule="atLeast"/>
              <w:ind w:left="0" w:right="0"/>
              <w:jc w:val="center"/>
              <w:textAlignment w:val="center"/>
              <w:rPr>
                <w:rFonts w:hint="eastAsia" w:ascii="黑体" w:hAnsi="黑体" w:eastAsia="黑体" w:cs="黑体"/>
              </w:rPr>
            </w:pPr>
            <w:r>
              <w:rPr>
                <w:rStyle w:val="5"/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加拿大</w:t>
            </w:r>
            <w:r>
              <w:rPr>
                <w:rStyle w:val="5"/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Style w:val="5"/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英属哥伦比亚大学</w:t>
            </w:r>
          </w:p>
        </w:tc>
        <w:tc>
          <w:tcPr>
            <w:tcW w:w="1175" w:type="dxa"/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81" w:lineRule="atLeast"/>
              <w:ind w:left="0" w:right="0"/>
              <w:jc w:val="center"/>
              <w:textAlignment w:val="center"/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 1.29-2.23（4周）</w:t>
            </w:r>
          </w:p>
        </w:tc>
        <w:tc>
          <w:tcPr>
            <w:tcW w:w="2736" w:type="dxa"/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81" w:lineRule="atLeast"/>
              <w:ind w:left="0" w:right="0"/>
              <w:jc w:val="center"/>
              <w:textAlignment w:val="center"/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全球公民英语</w:t>
            </w:r>
          </w:p>
        </w:tc>
        <w:tc>
          <w:tcPr>
            <w:tcW w:w="1016" w:type="dxa"/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81" w:lineRule="atLeast"/>
              <w:ind w:left="0" w:right="0"/>
              <w:jc w:val="center"/>
              <w:textAlignment w:val="center"/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证书</w:t>
            </w:r>
          </w:p>
        </w:tc>
        <w:tc>
          <w:tcPr>
            <w:tcW w:w="1844" w:type="dxa"/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81" w:lineRule="atLeast"/>
              <w:ind w:left="0" w:right="0"/>
              <w:jc w:val="center"/>
              <w:textAlignment w:val="center"/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无，入学前分级测试</w:t>
            </w:r>
          </w:p>
        </w:tc>
        <w:tc>
          <w:tcPr>
            <w:tcW w:w="1372" w:type="dxa"/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81" w:lineRule="atLeast"/>
              <w:ind w:left="0" w:right="0"/>
              <w:jc w:val="center"/>
              <w:textAlignment w:val="center"/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2.24-2.65万</w:t>
            </w:r>
          </w:p>
        </w:tc>
        <w:tc>
          <w:tcPr>
            <w:tcW w:w="1335" w:type="dxa"/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1" w:after="0" w:afterAutospacing="1" w:line="281" w:lineRule="atLeast"/>
              <w:ind w:left="0" w:right="0"/>
              <w:jc w:val="center"/>
              <w:textAlignment w:val="center"/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11月1日</w:t>
            </w:r>
          </w:p>
        </w:tc>
      </w:tr>
    </w:tbl>
    <w:p>
      <w:pPr>
        <w:keepNext w:val="0"/>
        <w:keepLines w:val="0"/>
        <w:widowControl/>
        <w:suppressLineNumbers w:val="0"/>
        <w:shd w:val="clear" w:fill="FFFFFF"/>
        <w:spacing w:before="0" w:beforeAutospacing="1" w:after="0" w:afterAutospacing="1"/>
        <w:ind w:left="0" w:right="0" w:firstLine="480"/>
        <w:jc w:val="left"/>
        <w:rPr>
          <w:rFonts w:hint="eastAsia" w:ascii="宋体" w:hAnsi="宋体" w:eastAsia="宋体" w:cs="宋体"/>
          <w:i w:val="0"/>
          <w:iCs w:val="0"/>
          <w:caps w:val="0"/>
          <w:color w:val="002F5E"/>
          <w:spacing w:val="0"/>
          <w:sz w:val="14"/>
          <w:szCs w:val="14"/>
        </w:rPr>
      </w:pPr>
    </w:p>
    <w:tbl>
      <w:tblPr>
        <w:tblStyle w:val="3"/>
        <w:tblpPr w:leftFromText="180" w:rightFromText="180" w:vertAnchor="text" w:horzAnchor="page" w:tblpX="355" w:tblpY="1180"/>
        <w:tblOverlap w:val="never"/>
        <w:tblW w:w="11168" w:type="dxa"/>
        <w:tblInd w:w="0" w:type="dxa"/>
        <w:tblBorders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394"/>
        <w:gridCol w:w="1332"/>
        <w:gridCol w:w="2568"/>
        <w:gridCol w:w="1013"/>
        <w:gridCol w:w="1851"/>
        <w:gridCol w:w="1293"/>
        <w:gridCol w:w="1717"/>
      </w:tblGrid>
      <w:tr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10" w:hRule="atLeast"/>
        </w:trPr>
        <w:tc>
          <w:tcPr>
            <w:tcW w:w="13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1" w:after="0" w:afterAutospacing="1" w:line="281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  <w:r>
              <w:rPr>
                <w:rStyle w:val="5"/>
                <w:rFonts w:hint="eastAsia" w:ascii="微软雅黑" w:hAnsi="微软雅黑" w:eastAsia="微软雅黑" w:cs="微软雅黑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院校</w:t>
            </w:r>
          </w:p>
        </w:tc>
        <w:tc>
          <w:tcPr>
            <w:tcW w:w="13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81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  <w:r>
              <w:rPr>
                <w:rStyle w:val="5"/>
                <w:rFonts w:hint="eastAsia" w:ascii="微软雅黑" w:hAnsi="微软雅黑" w:eastAsia="微软雅黑" w:cs="微软雅黑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项目日期</w:t>
            </w:r>
          </w:p>
        </w:tc>
        <w:tc>
          <w:tcPr>
            <w:tcW w:w="2568" w:type="dxa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81" w:lineRule="atLeast"/>
              <w:ind w:left="0" w:right="0" w:firstLine="241"/>
              <w:jc w:val="center"/>
              <w:textAlignment w:val="center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  <w:r>
              <w:rPr>
                <w:rStyle w:val="5"/>
                <w:rFonts w:hint="eastAsia" w:ascii="微软雅黑" w:hAnsi="微软雅黑" w:eastAsia="微软雅黑" w:cs="微软雅黑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课程主题</w:t>
            </w:r>
          </w:p>
        </w:tc>
        <w:tc>
          <w:tcPr>
            <w:tcW w:w="101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81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  <w:r>
              <w:rPr>
                <w:rStyle w:val="5"/>
                <w:rFonts w:hint="eastAsia" w:ascii="微软雅黑" w:hAnsi="微软雅黑" w:eastAsia="微软雅黑" w:cs="微软雅黑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学生收获</w:t>
            </w:r>
          </w:p>
        </w:tc>
        <w:tc>
          <w:tcPr>
            <w:tcW w:w="1851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81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  <w:r>
              <w:rPr>
                <w:rStyle w:val="5"/>
                <w:rFonts w:hint="eastAsia" w:ascii="微软雅黑" w:hAnsi="微软雅黑" w:eastAsia="微软雅黑" w:cs="微软雅黑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申请要求</w:t>
            </w:r>
          </w:p>
        </w:tc>
        <w:tc>
          <w:tcPr>
            <w:tcW w:w="129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81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  <w:r>
              <w:rPr>
                <w:rStyle w:val="5"/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项目费用</w:t>
            </w:r>
          </w:p>
        </w:tc>
        <w:tc>
          <w:tcPr>
            <w:tcW w:w="171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81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  <w:r>
              <w:rPr>
                <w:rStyle w:val="5"/>
                <w:rFonts w:hint="eastAsia" w:ascii="微软雅黑" w:hAnsi="微软雅黑" w:eastAsia="微软雅黑" w:cs="微软雅黑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预录取截止日期</w:t>
            </w:r>
          </w:p>
        </w:tc>
      </w:tr>
      <w:tr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10" w:hRule="atLeast"/>
        </w:trPr>
        <w:tc>
          <w:tcPr>
            <w:tcW w:w="11168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81" w:lineRule="atLeast"/>
              <w:ind w:left="0" w:right="0"/>
              <w:jc w:val="center"/>
              <w:textAlignment w:val="center"/>
              <w:rPr>
                <w:rStyle w:val="5"/>
                <w:rFonts w:hint="eastAsia" w:ascii="微软雅黑" w:hAnsi="微软雅黑" w:eastAsia="微软雅黑" w:cs="微软雅黑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Style w:val="5"/>
                <w:rFonts w:hint="eastAsia" w:ascii="微软雅黑" w:hAnsi="微软雅黑" w:eastAsia="微软雅黑" w:cs="微软雅黑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春季学分课程</w:t>
            </w:r>
          </w:p>
        </w:tc>
      </w:tr>
      <w:tr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6" w:hRule="atLeast"/>
        </w:trPr>
        <w:tc>
          <w:tcPr>
            <w:tcW w:w="13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81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Style w:val="5"/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美国</w:t>
            </w:r>
            <w:r>
              <w:rPr>
                <w:rStyle w:val="5"/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Style w:val="5"/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哥伦比亚大学</w:t>
            </w:r>
          </w:p>
        </w:tc>
        <w:tc>
          <w:tcPr>
            <w:tcW w:w="13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81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1.16-5.10</w:t>
            </w:r>
          </w:p>
        </w:tc>
        <w:tc>
          <w:tcPr>
            <w:tcW w:w="2568" w:type="dxa"/>
            <w:tcBorders>
              <w:top w:val="nil"/>
              <w:left w:val="single" w:color="auto" w:sz="4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81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 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课量：修读4门专业课，至少12学分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课程范围：商科、经济学、计算机科学、精算学、企业风险管理、数理化、统计学、生物学、生物化学、生物医药工程、电子工程、生态学、环境、建筑管理、天文学、地球科学、地理、戏剧艺术、音乐舞蹈、心理学、社会学、体育管理、国际关系、政治学、美国研究、历史、考古学、人类学、哲学、视觉艺术等</w:t>
            </w:r>
          </w:p>
        </w:tc>
        <w:tc>
          <w:tcPr>
            <w:tcW w:w="101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81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成绩单+学分</w:t>
            </w:r>
          </w:p>
        </w:tc>
        <w:tc>
          <w:tcPr>
            <w:tcW w:w="185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81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 托福100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雅思7.0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Duolingo 120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GPA 3.0</w:t>
            </w:r>
          </w:p>
        </w:tc>
        <w:tc>
          <w:tcPr>
            <w:tcW w:w="129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81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25.3万</w:t>
            </w:r>
          </w:p>
        </w:tc>
        <w:tc>
          <w:tcPr>
            <w:tcW w:w="171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81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10月23日</w:t>
            </w:r>
          </w:p>
        </w:tc>
      </w:tr>
      <w:tr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6" w:hRule="atLeast"/>
        </w:trPr>
        <w:tc>
          <w:tcPr>
            <w:tcW w:w="1394" w:type="dxa"/>
            <w:tcBorders>
              <w:top w:val="single" w:color="auto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81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Style w:val="5"/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美国</w:t>
            </w:r>
            <w:r>
              <w:rPr>
                <w:rStyle w:val="5"/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Style w:val="5"/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宾夕法尼亚大学</w:t>
            </w:r>
          </w:p>
        </w:tc>
        <w:tc>
          <w:tcPr>
            <w:tcW w:w="1332" w:type="dxa"/>
            <w:tcBorders>
              <w:top w:val="single" w:color="auto" w:sz="4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81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1.18-5.14</w:t>
            </w:r>
          </w:p>
        </w:tc>
        <w:tc>
          <w:tcPr>
            <w:tcW w:w="256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81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课量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：修读4门专业学分课程，4个Course Unit (每个CU相当于约3学分)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课程范围：商科与管理、金融与财会、市场营销、经济学、计算机科学、工程、物理、化学、生物、数学、数据分析、心理学、传播学、新闻、环境、健康与护理、历史、国际关系、政治科学、法律、社会学、语言学等</w:t>
            </w:r>
          </w:p>
        </w:tc>
        <w:tc>
          <w:tcPr>
            <w:tcW w:w="101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81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成绩单+学分</w:t>
            </w:r>
          </w:p>
        </w:tc>
        <w:tc>
          <w:tcPr>
            <w:tcW w:w="185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81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托福100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雅思7.0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Duolingo 120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GPA 3.3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必须已完成大一，仅限本科</w:t>
            </w:r>
          </w:p>
        </w:tc>
        <w:tc>
          <w:tcPr>
            <w:tcW w:w="129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81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16.6-26.9万</w:t>
            </w:r>
          </w:p>
        </w:tc>
        <w:tc>
          <w:tcPr>
            <w:tcW w:w="171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81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9月21日</w:t>
            </w:r>
          </w:p>
        </w:tc>
      </w:tr>
      <w:tr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06" w:hRule="atLeast"/>
        </w:trPr>
        <w:tc>
          <w:tcPr>
            <w:tcW w:w="139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81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Style w:val="5"/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美国加州大学</w:t>
            </w:r>
            <w:r>
              <w:rPr>
                <w:rStyle w:val="5"/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Style w:val="5"/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圣地亚哥分校</w:t>
            </w:r>
          </w:p>
        </w:tc>
        <w:tc>
          <w:tcPr>
            <w:tcW w:w="133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81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3.27-6.14</w:t>
            </w:r>
          </w:p>
        </w:tc>
        <w:tc>
          <w:tcPr>
            <w:tcW w:w="256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81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Style w:val="5"/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Track 1: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 4学分主校区课程+3学分的英语提升课程+5学分的Extension课程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Track 2: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 8学分主校区课程+4学分Extension课程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Track 3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: 12学分主校区课程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000000"/>
                <w:kern w:val="0"/>
                <w:sz w:val="14"/>
                <w:szCs w:val="14"/>
                <w:u w:val="single"/>
                <w:lang w:val="en-US" w:eastAsia="zh-CN" w:bidi="ar"/>
              </w:rPr>
              <w:t>课程范围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：生物工程、电子工程、机械工程、航空航天工程、生物学、分子生物学、海洋生物学、物理、化学、数学、计算机科学、商科、传播学、经济学、国际关系、政治科学、历史、心理学、视觉艺术等</w:t>
            </w:r>
          </w:p>
        </w:tc>
        <w:tc>
          <w:tcPr>
            <w:tcW w:w="101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81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成绩单+学分</w:t>
            </w:r>
          </w:p>
        </w:tc>
        <w:tc>
          <w:tcPr>
            <w:tcW w:w="185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81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Style w:val="5"/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Track 1: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 托福79，雅思6.5，Duolingo 110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Track 2: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 托福83，雅思7，Duolingo 115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Track 3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: 托福95，或雅思7，Duolingo 115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GPA 3.5</w:t>
            </w:r>
          </w:p>
        </w:tc>
        <w:tc>
          <w:tcPr>
            <w:tcW w:w="129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81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8.1万</w:t>
            </w:r>
          </w:p>
        </w:tc>
        <w:tc>
          <w:tcPr>
            <w:tcW w:w="171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81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11月5日</w:t>
            </w:r>
          </w:p>
        </w:tc>
      </w:tr>
      <w:tr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2" w:hRule="atLeast"/>
        </w:trPr>
        <w:tc>
          <w:tcPr>
            <w:tcW w:w="139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1" w:after="0" w:afterAutospacing="1" w:line="281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Style w:val="5"/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美国</w:t>
            </w:r>
            <w:r>
              <w:rPr>
                <w:rStyle w:val="5"/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Style w:val="5"/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威斯康星大学</w:t>
            </w:r>
            <w:r>
              <w:rPr>
                <w:rStyle w:val="5"/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Style w:val="5"/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麦迪逊分校</w:t>
            </w:r>
          </w:p>
        </w:tc>
        <w:tc>
          <w:tcPr>
            <w:tcW w:w="133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81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1.23-5.10</w:t>
            </w:r>
          </w:p>
        </w:tc>
        <w:tc>
          <w:tcPr>
            <w:tcW w:w="256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81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课量：一学期3-4门课，12-18学分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大部分专业课程均向访学生开放（法律、医学、MBA、护理、药学和兽医专业除外）</w:t>
            </w:r>
          </w:p>
        </w:tc>
        <w:tc>
          <w:tcPr>
            <w:tcW w:w="101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81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成绩单+学分+项目证书</w:t>
            </w:r>
          </w:p>
        </w:tc>
        <w:tc>
          <w:tcPr>
            <w:tcW w:w="185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81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托福80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雅思6.5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Dulingo 105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GPA 3.0</w:t>
            </w:r>
          </w:p>
        </w:tc>
        <w:tc>
          <w:tcPr>
            <w:tcW w:w="129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81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16.9万</w:t>
            </w:r>
          </w:p>
        </w:tc>
        <w:tc>
          <w:tcPr>
            <w:tcW w:w="171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81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10月25日（往期数据，待官网更新）</w:t>
            </w:r>
          </w:p>
        </w:tc>
      </w:tr>
      <w:tr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2" w:hRule="atLeast"/>
        </w:trPr>
        <w:tc>
          <w:tcPr>
            <w:tcW w:w="1394" w:type="dxa"/>
            <w:tcBorders>
              <w:top w:val="nil"/>
              <w:left w:val="single" w:color="000000" w:sz="8" w:space="0"/>
              <w:bottom w:val="single" w:color="auto" w:sz="4" w:space="0"/>
              <w:right w:val="single" w:color="000000" w:sz="8" w:space="0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81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Style w:val="5"/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加拿大</w:t>
            </w:r>
            <w:r>
              <w:rPr>
                <w:rStyle w:val="5"/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Style w:val="5"/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麦吉尔大学</w:t>
            </w:r>
          </w:p>
        </w:tc>
        <w:tc>
          <w:tcPr>
            <w:tcW w:w="1332" w:type="dxa"/>
            <w:tcBorders>
              <w:top w:val="nil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81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1.15-4.13，或3.4-6.1</w:t>
            </w:r>
          </w:p>
        </w:tc>
        <w:tc>
          <w:tcPr>
            <w:tcW w:w="2568" w:type="dxa"/>
            <w:tcBorders>
              <w:top w:val="nil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81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 6周语言课程+6周专业课程（可选择2个方向，包括3-4门专业课，选课范围可参照寒暑假短期项目）</w:t>
            </w:r>
          </w:p>
        </w:tc>
        <w:tc>
          <w:tcPr>
            <w:tcW w:w="1013" w:type="dxa"/>
            <w:tcBorders>
              <w:top w:val="nil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81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成绩单+项目证书</w:t>
            </w:r>
          </w:p>
        </w:tc>
        <w:tc>
          <w:tcPr>
            <w:tcW w:w="1851" w:type="dxa"/>
            <w:tcBorders>
              <w:top w:val="nil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81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托福79，或雅思6.0，或大学英语四级500、或大学六级470；或Duolingo 105</w:t>
            </w:r>
          </w:p>
        </w:tc>
        <w:tc>
          <w:tcPr>
            <w:tcW w:w="1293" w:type="dxa"/>
            <w:tcBorders>
              <w:top w:val="nil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81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6.81万</w:t>
            </w:r>
          </w:p>
        </w:tc>
        <w:tc>
          <w:tcPr>
            <w:tcW w:w="1717" w:type="dxa"/>
            <w:tcBorders>
              <w:top w:val="nil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81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1月开课：10月13日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4月开课：12月8日</w:t>
            </w:r>
          </w:p>
        </w:tc>
      </w:tr>
      <w:tr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12" w:hRule="atLeast"/>
        </w:trPr>
        <w:tc>
          <w:tcPr>
            <w:tcW w:w="13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81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Style w:val="5"/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澳大利亚</w:t>
            </w:r>
            <w:r>
              <w:rPr>
                <w:rStyle w:val="5"/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Style w:val="5"/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昆士兰大学</w:t>
            </w:r>
          </w:p>
        </w:tc>
        <w:tc>
          <w:tcPr>
            <w:tcW w:w="1332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81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2.19-6.15</w:t>
            </w:r>
          </w:p>
        </w:tc>
        <w:tc>
          <w:tcPr>
            <w:tcW w:w="2568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81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修读4门专业课，8学分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课程范围：商科、经济学、法律、工程、建筑、信息技术、农业、动物科学、食品科学、健康与行为科学、人文与社科、医学与药学、科学与数学、环境与规划、心理学、社会科学等。</w:t>
            </w:r>
          </w:p>
        </w:tc>
        <w:tc>
          <w:tcPr>
            <w:tcW w:w="1013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81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成绩单+学分</w:t>
            </w:r>
          </w:p>
        </w:tc>
        <w:tc>
          <w:tcPr>
            <w:tcW w:w="1851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81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必须完成大一课程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雅思6.5（单项不低于6）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托福87（单项最低要求阅读19，写作21，口语19，听力19）（部分专业方向有更高要求）；GPA建议不低于2.6</w:t>
            </w:r>
          </w:p>
        </w:tc>
        <w:tc>
          <w:tcPr>
            <w:tcW w:w="1293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81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7.81万</w:t>
            </w:r>
          </w:p>
        </w:tc>
        <w:tc>
          <w:tcPr>
            <w:tcW w:w="17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81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10月20日</w:t>
            </w:r>
          </w:p>
        </w:tc>
      </w:tr>
    </w:tbl>
    <w:p>
      <w:pPr>
        <w:keepNext w:val="0"/>
        <w:keepLines w:val="0"/>
        <w:widowControl/>
        <w:suppressLineNumbers w:val="0"/>
        <w:shd w:val="clear" w:fill="FFFFFF"/>
        <w:spacing w:before="0" w:beforeAutospacing="1" w:after="0" w:afterAutospacing="1"/>
        <w:ind w:left="0" w:right="210" w:firstLine="0"/>
        <w:jc w:val="left"/>
        <w:rPr>
          <w:rFonts w:hint="eastAsia" w:ascii="黑体" w:hAnsi="黑体" w:eastAsia="黑体" w:cs="黑体"/>
          <w:i w:val="0"/>
          <w:iCs w:val="0"/>
          <w:caps w:val="0"/>
          <w:color w:val="002F5E"/>
          <w:spacing w:val="0"/>
          <w:sz w:val="14"/>
          <w:szCs w:val="14"/>
        </w:rPr>
      </w:pPr>
      <w:r>
        <w:rPr>
          <w:rFonts w:hint="eastAsia" w:ascii="黑体" w:hAnsi="黑体" w:eastAsia="黑体" w:cs="黑体"/>
          <w:i w:val="0"/>
          <w:iCs w:val="0"/>
          <w:caps w:val="0"/>
          <w:color w:val="002F5E"/>
          <w:spacing w:val="0"/>
          <w:kern w:val="0"/>
          <w:sz w:val="14"/>
          <w:szCs w:val="14"/>
          <w:shd w:val="clear" w:fill="FFFFFF"/>
          <w:lang w:val="en-US" w:eastAsia="zh-CN" w:bidi="ar"/>
        </w:rPr>
        <w:t> </w:t>
      </w:r>
    </w:p>
    <w:p>
      <w:pPr>
        <w:tabs>
          <w:tab w:val="left" w:pos="764"/>
        </w:tabs>
        <w:bidi w:val="0"/>
        <w:jc w:val="left"/>
        <w:rPr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RiYjBhYjg2OTY5MjJmMjMzZmRlN2IyYTc1ODY4MzgifQ=="/>
  </w:docVars>
  <w:rsids>
    <w:rsidRoot w:val="465170C2"/>
    <w:rsid w:val="02F8375D"/>
    <w:rsid w:val="0B073AE9"/>
    <w:rsid w:val="12766A47"/>
    <w:rsid w:val="177B3894"/>
    <w:rsid w:val="1DE026A3"/>
    <w:rsid w:val="1E663741"/>
    <w:rsid w:val="2B6A7A50"/>
    <w:rsid w:val="347A622A"/>
    <w:rsid w:val="395029D2"/>
    <w:rsid w:val="39A64349"/>
    <w:rsid w:val="3C320116"/>
    <w:rsid w:val="43495FAE"/>
    <w:rsid w:val="465170C2"/>
    <w:rsid w:val="4B007D45"/>
    <w:rsid w:val="50C66353"/>
    <w:rsid w:val="6017124D"/>
    <w:rsid w:val="62E77279"/>
    <w:rsid w:val="6853303E"/>
    <w:rsid w:val="6AA47B81"/>
    <w:rsid w:val="6F15104E"/>
    <w:rsid w:val="7C442F72"/>
    <w:rsid w:val="7FAE5D31"/>
    <w:rsid w:val="7FE713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1966</Words>
  <Characters>2428</Characters>
  <Lines>0</Lines>
  <Paragraphs>0</Paragraphs>
  <TotalTime>15</TotalTime>
  <ScaleCrop>false</ScaleCrop>
  <LinksUpToDate>false</LinksUpToDate>
  <CharactersWithSpaces>2508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2023-09-08T00:37:00Z</dcterms:created>
  <dc:creator>手揣兜兜，谁也不爱</dc:creator>
  <cp:lastModifiedBy>Ada QueenKong</cp:lastModifiedBy>
  <dcterms:modified xsi:type="dcterms:W3CDTF">2023-09-08T00:51:32Z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363A1D83387B4AABBB1DFE1E19FED434_13</vt:lpwstr>
  </property>
</Properties>
</file>